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Wspólnie celebrujemy Rok Szkła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Narodów Zjednoczonych ogłosiła rok 2022 Rokiem Szkła. Ma to na celu podkreślić jego rolę w codziennym życiu, ale również w kulturze, nauce i gospodarce. W akcji biorą udział najwięksi producenci szkła na świecie, w tym NSG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– niezwykły materiał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Szkła używamy od zarania dziejów – zanim opracowano technologię jego produkcji, korzystano z pochodzących z wulkanów kawałków obsydianu czy innych, naturalnie zeszklonych fragmentów. Współcześnie ciężko jest wyobrazić sobie życie bez szkła – jest ono stałym i niezbędnym elementem okien, produkuje się z niego butelki i słoiki, a także naczynia kuchenne. Używane jest też w działalności naukowej i artystycznej.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podkreślić szerokość zastosowań i istotność dla świata, Organizacja Narodów Zjednoczonych na posiedzeniu 18 maja 2021 roku ogłosiła, że rok 2022 będzie Rokiem Szkła. Oficjalne otwarcie odbyło się 11 lutego w siedzibie ONZ w Genewie. Międzynarodowy Kongres ICG odbędzie się w lipcu w Berlinie, a zamknięcie nastąpi w grudniu w Japonii. Przez dwanaście miesięcy na całym świecie odbywać się będą wydarzenia edukacyjne, kulturalne i artystyczne promujące użycie szkła oraz uświadamiające jego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chęć udziału w wydarzeniach związanych z Rokiem Szkła wyraziło 360 firm, 295 instytucji akademickich czy 221 muzeów i galerii sztuki – łącznie ponad 1127 organizacji będzie uczestniczyć w Roku Szkła. Wśród nich spółki, wchodzące w skład NSG Group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Liderzy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możemy uczestniczyć w tak wielkim wydarzeniu” – mówi Krzysztof Granicki, prezes Pilkington Polska i Pilkington IGP. – „Od początku naszej działalności pokazujemy, że szkło jest wszechstronnym materiałem. Co istotne współcześnie, w dobie zmian klimatu, jest również w pełni zdatne do recyklingu, więc właściwie używane, może służyć w nieskończoność”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właściciel marki Pilkington jest jednym z największych producentów szkła architektonicznego, samochodowego i technicznego na świecie. Produkcja odbywa się w 28 krajach, w których Grupa zatrudnia ponad 27 tysięcy osób. Działalność handlową prowadzi w 105 państwach.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Szyby produkowane przez grupę odznaczają się wielością zastosowań i funkcji. Rozwój technologii produkcyjnej umożliwił m.in. produkcję szkła antymikrobowego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SaniTise™</w:t>
      </w:r>
      <w:r>
        <w:rPr>
          <w:rFonts w:ascii="calibri" w:hAnsi="calibri" w:eastAsia="calibri" w:cs="calibri"/>
          <w:sz w:val="24"/>
          <w:szCs w:val="24"/>
        </w:rPr>
        <w:t xml:space="preserve">, które dzięki aktywnej powłoce z tlenków metali eliminuje osiadające na jego powierzchni drobnoustroje, zwiększając bezpieczeństwo sanitarne. Innym przykładem może być szkło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AviSafe™</w:t>
      </w:r>
      <w:r>
        <w:rPr>
          <w:rFonts w:ascii="calibri" w:hAnsi="calibri" w:eastAsia="calibri" w:cs="calibri"/>
          <w:sz w:val="24"/>
          <w:szCs w:val="24"/>
        </w:rPr>
        <w:t xml:space="preserve">. Wyposażone jest ono w powłokę wzmacniającą odbicie promieniowania UV, co czyni je widoczne dla ptaków i minimalizuje ryzyko ich kolizji z szybą.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działa również aktywnie na polu zmniejszania swojego wpływu na klimat. W styczniu 2022 roku weszła w życie dziesięcioletnia umowa na zakup energii elektrycznej, którą spółka podpisała z EDP Renewables – zlokalizowana w Polsce farma wiatrowa o mocy 70 MW dostarcza prąd dla NSG UK Enterprises, stanowiąc 51% wykorzystywanej przez oddział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spółki regularnie angażują się w życie kulturalne miejsc, w których zlokalizowane są ich siedziby. Przykładem może być stała współpraca z miastem Sandomierz, dla którego firma przygotowała Szklany Spacer – sześć szklanych tablic pokazujących historyczny wygląd sandomierskich zabytków, które można na bieżąco porównywać ze stanem współczesnym.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lkington.pl" TargetMode="External"/><Relationship Id="rId8" Type="http://schemas.openxmlformats.org/officeDocument/2006/relationships/hyperlink" Target="http://royalbrand.biuroprasowe.pl/word/?hash=9ca70dfaaef3b971d6a7a7f20fe30ba0&amp;id=185962&amp;typ=eprmailto:Ewelina.Wojcicka@pl.ns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2026-05-10T09:50:29+02:00</dcterms:created>
  <dcterms:modified xsi:type="dcterms:W3CDTF">2026-05-10T09:50:29+02:00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