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Wspólnie celebrujemy Rok Szkła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Narodów Zjednoczonych ogłosiła rok 2022 Rokiem Szkła. Ma to na celu podkreślić jego rolę w codziennym życiu, ale również w kulturze, nauce i gospodarce. W akcji biorą udział najwięksi producenci szkła na świecie, w tym NSG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– niezwykły materiał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Szkła używamy od zarania dziejów – zanim opracowano technologię jego produkcji, korzystano z pochodzących z wulkanów kawałków obsydianu czy innych, naturalnie zeszklonych fragmentów. Współcześnie ciężko jest wyobrazić sobie życie bez szkła – jest ono stałym i niezbędnym elementem okien, produkuje się z niego butelki i słoiki, a także naczynia kuchenne. Używane jest też w działalności naukowej i artystycznej.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podkreślić szerokość zastosowań i istotność dla świata, Organizacja Narodów Zjednoczonych na posiedzeniu 18 maja 2021 roku ogłosiła, że rok 2022 będzie Rokiem Szkła. Oficjalne otwarcie odbyło się 11 lutego w siedzibie ONZ w Genewie. Międzynarodowy Kongres ICG odbędzie się w lipcu w Berlinie, a zamknięcie nastąpi w grudniu w Japonii. Przez dwanaście miesięcy na całym świecie odbywać się będą wydarzenia edukacyjne, kulturalne i artystyczne promujące użycie szkła oraz uświadamiające jego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chęć udziału w wydarzeniach związanych z Rokiem Szkła wyraziło 360 firm, 295 instytucji akademickich czy 221 muzeów i galerii sztuki – łącznie ponad 1127 organizacji będzie uczestniczyć w Roku Szkła. Wśród nich spółki, wchodzące w skład NSG Group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Liderzy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możemy uczestniczyć w tak wielkim wydarzeniu” – mówi Krzysztof Granicki, prezes Pilkington Polska i Pilkington IGP. – „Od początku naszej działalności pokazujemy, że szkło jest wszechstronnym materiałem. Co istotne współcześnie, w dobie zmian klimatu, jest również w pełni zdatne do recyklingu, więc właściwie używane, może służyć w nieskończoność”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właściciel marki Pilkington jest jednym z największych producentów szkła architektonicznego, samochodowego i technicznego na świecie. Produkcja odbywa się w 28 krajach, w których Grupa zatrudnia ponad 27 tysięcy osób. Działalność handlową prowadzi w 105 państwach.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Szyby produkowane przez grupę odznaczają się wielością zastosowań i funkcji. Rozwój technologii produkcyjnej umożliwił m.in. produkcję szkła antymikrobowego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, które dzięki aktywnej powłoce z tlenków metali eliminuje osiadające na jego powierzchni drobnoustroje, zwiększając bezpieczeństwo sanitarne. Innym przykładem może być szkło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AviSafe™</w:t>
      </w:r>
      <w:r>
        <w:rPr>
          <w:rFonts w:ascii="calibri" w:hAnsi="calibri" w:eastAsia="calibri" w:cs="calibri"/>
          <w:sz w:val="24"/>
          <w:szCs w:val="24"/>
        </w:rPr>
        <w:t xml:space="preserve">. Wyposażone jest ono w powłokę wzmacniającą odbicie promieniowania UV, co czyni je widoczne dla ptaków i minimalizuje ryzyko ich kolizji z szybą.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działa również aktywnie na polu zmniejszania swojego wpływu na klimat. W styczniu 2022 roku weszła w życie dziesięcioletnia umowa na zakup energii elektrycznej, którą spółka podpisała z EDP Renewables – zlokalizowana w Polsce farma wiatrowa o mocy 70 MW dostarcza prąd dla NSG UK Enterprises, stanowiąc 51% wykorzystywanej przez oddział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spółki regularnie angażują się w życie kulturalne miejsc, w których zlokalizowane są ich siedziby. Przykładem może być stała współpraca z miastem Sandomierz, dla którego firma przygotowała Szklany Spacer – sześć szklanych tablic pokazujących historyczny wygląd sandomierskich zabytków, które można na bieżąco porównywać ze stanem współczesnym.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lkington.pl" TargetMode="External"/><Relationship Id="rId8" Type="http://schemas.openxmlformats.org/officeDocument/2006/relationships/hyperlink" Target="http://royalbrand.biuroprasowe.pl/word/?hash=9ca70dfaaef3b971d6a7a7f20fe30ba0&amp;id=185962&amp;typ=eprmailto:Ewelina.Wojcicka@pl.n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2026-08-23T20:34:17+02:00</dcterms:created>
  <dcterms:modified xsi:type="dcterms:W3CDTF">2026-08-23T20:34:17+02:00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