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Trendy w szkle architektonicznym na rok 2021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Pandemia koronawirusa i zmiany klimatu były głównymi czynnikami, które kształtowały świat w 2020 roku i można założyć, że będą to czynić również w 2021. Sprawi to, że gospodarka będzie dążyć do zapewnienia bezpieczeństwa, ale również ekologiczności. Szkło architektoniczne może pomóc w obu kwestiach.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Pandemia i klimat – główne przyczyny zmian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Zmiany klimatu oraz pandemia COVID-19 wymuszają zmiany na rynku – ich wpływ dotyczy praktycznie każdego sektora, ale niektóre muszą dostosowywać się szybciej i na większą skalę. Przykładem mogą być branże architektoniczna i budowlana, gdyż zarówno bezpieczeństwo sanitarne, jak też efektywność energetyczna i zeroemisyjność muszą być brane przez architektów i inżynierów pod uwagę.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się zatem spodziewać, że najbliższe lata przyniosą dalszy rozwój ekologicznych technologii, a inwestycje będą projektowane i planowane tak, by jak najmniej wpływać na środowisko. Stwarza to ogromne możliwości przed rynkiem szkła architektonicznego. Widać to po prognozach – w 2020 wartość globalnego rynku szkła płaskiego wynosiła 123 miliardy dolarów, ale przewiduje się, że w 2027 osiągnie ona 203 miliardy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stronę ekologii i bezpieczeństwa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Kwestia wpływu na klimat będzie grała ogromną rolę w nadchodzących latach, co widać na przykładach regulacji prawnych i rządowych programów. Wprowadzone w życie 1 stycznia Warunki Techniczne 2021 obniżyły m.in. wskaźnik zapotrzebowania na energię pierwotną w nowo powstających budynkach, co implikuje konieczność użycia odpowiednich rozwiązań budowlanych – w tym szkła.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przyrodzie nic nie ginie – tym zdaniem będą kierować się architekci i inżynierowie w nadchodzących latach. Nie tylko podczas projektowania i budowy, starając się maksymalizować efektywność energetyczną realizacji, ale również w doborze materiałów. Pewnym jest, że rosnąć będzie znaczenie recyklingu w obszarze szkła architektonicznego. Jest ono w stu procentach zdatne do ponownego użycia, co może zmniejszyć zapotrzebowanie na surowe materiały o 1,23 miliona ton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Dążenie do zeroemisyjności będzie wiodącym trendem nadchodzących lat. Nie tylko z powodów środowiskowych, ale również finansowych czy prestiżowych </w:t>
      </w:r>
      <w:r>
        <w:rPr>
          <w:rFonts w:ascii="calibri" w:hAnsi="calibri" w:eastAsia="calibri" w:cs="calibri"/>
          <w:sz w:val="24"/>
          <w:szCs w:val="24"/>
        </w:rPr>
        <w:t xml:space="preserve">– mówi Mariusz Kołodziej, dyrektor sprzedaży szkła architektonicznego Pilkington Region Wschodni.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dłuższej perspektywie użycie zielonych technologii może znacząco zmniejszyć koszty utrzymania budynku, ale może być również przekute w zysk. Realizacje, w których użyto ekologicznego szkła, mają większą szansę na otrzymanie certyfikatów takich jak BREAAM czy LEED, co przekłada się nie tylko na prestiż, ale również na zwiększenie wartości inwestycji.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Redukcja wpływu na klimat będzie widoczna w urbanistyce i transporcie. Mowa nie tylko o elektrycznych samochodach, ale również o zmianach w rozplanowaniu miast, żeby stały się bardziej przyjazne pieszym i rowerzystom. Szkło może być wykorzystywane przez architektów jako materiał dekoracyjny, ale świetnie sprawdzi się również w balustradach, w schodach czy jako daszek chroniący przed słońcem lub deszczem.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Przyszłość szkła to wnętrza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Szerokie perspektywy rysują się przed rynkiem szkła architektonicznego w dziedzinie renowacji budynków. Ogłoszona przez Komisję Europejską fala renowacji ma na celu odnowić do 2030 roku 35 milionów budynków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. Działania podjęte przez Unię zmierzają do zniwelowania strat ciepła, zlikwidowania ubóstwa energetycznego oraz pobudzenia gospodarki po pandemii COVID-19. Nie da się tego osiągnąć bez odpowiednio zaawansowanych technologii szklanych, co przełoży się na wzrost zainteresowania szybami zespolonymi.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Zmiany czekają również wnętrza budynków. Można przypuszczać, że po zwalczeniu zagrożenia koronawirusem utrzyma się tendencja do zapewnienia bezpieczeństwa sanitarnego, a zatem szkło antymikrobowe może stać się powszechnym rozwiązaniem w najbliższych latach.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Przewiduje się, że najbliższe lata przyniosą renesans maksymalnie otwartych przestrzeni we wnętrzach, w których rodziny będą mogły spędzać wspólnie czas. Możliwe również, że w domach zaczną upowszechniać się „ciche miejsca” z niewielką ilością mebli i dodatków. Maksymalną przestrzenność, jak również odpowiednią izolacyjność akustyczną i potrzebną ilość światła może zapewnić odpowiedniej jakości szkło.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widać, rynek czekają intensywne zmiany – zwiększy się zainteresowanie recyklingiem i założeniami ekonomii cyrkularnej. Jednakże, oprócz spełniania wysokich norm środowiskowych, architekci i budowniczowie będą dążyć również do zapewnienia maksymalnego komfortu użytkownikom budynków. Nie da się tego osiągnąć bez wysokiej klasy materiałów budowlanych, a zatem można spokojnie założyć, że przed rykiem szkła architektonicznego rysuje się świetlana przyszłość.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KONIEC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O firmie: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NSG Group jest obecnie jednym z największych światowych producentów szkła i produktów szklanych, działającym w trzech podstawowych sektorach: Motoryzacyjnym, Architektonicznym i Nowych Technologii. Sektor motoryzacyjny obsługuje rynek oryginalnego wyposażenia, części zamienne i specjalistyczne rynki szyb transportowych. Sektor architektoniczny dostarcza szkło do zastosowań architektonicznych, energii słonecznej oraz cyfrowych oznakowań i wyświetlaczy. Produkty technologiczne obejmują bardzo cienkie szkło do wyświetlaczy, soczewki i światłowody do drukarek oraz włókno szklane używane w separatorach akumulatorów i paskach rozrządu silnika. Posiadamy duże udziały w większości rynków produktów architektonicznych i motoryzacyjnych na świecie, o szerokim zasięgu geograficznym, co pozwala nam odpowiadać na potrzeby klientów, których działalność, szczególnie w przypadku rynku oryginalnych szyb samochodowych, ma coraz bardziej globalny charakter. Obecnie, NSG Group prowadzi działalność produkcyjną na całym świecie i prowadzi sprzedaż w ponad 100 krajach. W roku podatkowym zakończonym 31 marca 2020 r. sprzedaż Grupy wyniosła ok. 4,60 miliarda euro. Z łącznej sprzedaży Grupy 38% zrealizowano w Europie, 28% w Azji, łącznie z Japonią i 27% w obu Amerykach.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można znaleźć na stronie internetowej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www.pilkington.pl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dziennikarzy: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Ewelina Wójcicka, Marketing Communications Coordinator, Pilkington IGP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tel.: +48 22 548 75 03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Ewelina.Wojcicka@pl.nsg.com</w:t>
        </w:r>
      </w:hyperlink>
    </w:p>
    <w:p>
      <w:pPr>
        <w:spacing w:before="0" w:after="300"/>
      </w:pP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https://www.grandviewresearch.com/industry-analysis/global-flat-glass-market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https://www.arup.com/-/media/arup/files/publications/r/rethinkingthelifecycleofarchitecturalglass2018.pdf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https://ec.europa.eu/poland/news/201017_eco_economy_pl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royalbrand.biuroprasowe.pl/word/?hash=df9279e31ad89403127581aacfe3fe32&amp;id=150461&amp;typ=epr#_ftn1" TargetMode="External"/><Relationship Id="rId8" Type="http://schemas.openxmlformats.org/officeDocument/2006/relationships/hyperlink" Target="http://royalbrand.biuroprasowe.pl/word/?hash=df9279e31ad89403127581aacfe3fe32&amp;id=150461&amp;typ=epr#_ftn2" TargetMode="External"/><Relationship Id="rId9" Type="http://schemas.openxmlformats.org/officeDocument/2006/relationships/image" Target="media/section_image1.jpg"/><Relationship Id="rId10" Type="http://schemas.openxmlformats.org/officeDocument/2006/relationships/hyperlink" Target="http://royalbrand.biuroprasowe.pl/word/?hash=df9279e31ad89403127581aacfe3fe32&amp;id=150461&amp;typ=epr#_ftn3" TargetMode="External"/><Relationship Id="rId11" Type="http://schemas.openxmlformats.org/officeDocument/2006/relationships/hyperlink" Target="http://www.pilkington.pl" TargetMode="External"/><Relationship Id="rId12" Type="http://schemas.openxmlformats.org/officeDocument/2006/relationships/hyperlink" Target="http://royalbrand.biuroprasowe.pl/word/?hash=df9279e31ad89403127581aacfe3fe32&amp;id=150461&amp;typ=eprmailto:Ewelina.Wojcicka@pl.nsg.com" TargetMode="External"/><Relationship Id="rId13" Type="http://schemas.openxmlformats.org/officeDocument/2006/relationships/hyperlink" Target="http://royalbrand.biuroprasowe.pl/word/?hash=df9279e31ad89403127581aacfe3fe32&amp;id=150461&amp;typ=epr#_ftnref1" TargetMode="External"/><Relationship Id="rId14" Type="http://schemas.openxmlformats.org/officeDocument/2006/relationships/hyperlink" Target="https://www.grandviewresearch.com/industry-analysis/global-flat-glass-market" TargetMode="External"/><Relationship Id="rId15" Type="http://schemas.openxmlformats.org/officeDocument/2006/relationships/hyperlink" Target="http://royalbrand.biuroprasowe.pl/word/?hash=df9279e31ad89403127581aacfe3fe32&amp;id=150461&amp;typ=epr#_ftnref2" TargetMode="External"/><Relationship Id="rId16" Type="http://schemas.openxmlformats.org/officeDocument/2006/relationships/hyperlink" Target="https://www.arup.com/-/media/arup/files/publications/r/rethinkingthelifecycleofarchitecturalglass2018.pdf" TargetMode="External"/><Relationship Id="rId17" Type="http://schemas.openxmlformats.org/officeDocument/2006/relationships/hyperlink" Target="http://royalbrand.biuroprasowe.pl/word/?hash=df9279e31ad89403127581aacfe3fe32&amp;id=150461&amp;typ=epr#_ftnref3" TargetMode="External"/><Relationship Id="rId18" Type="http://schemas.openxmlformats.org/officeDocument/2006/relationships/hyperlink" Target="https://ec.europa.eu/poland/news/201017_eco_economy_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2026-11-04T20:21:34+01:00</dcterms:created>
  <dcterms:modified xsi:type="dcterms:W3CDTF">2026-11-04T20:21:34+01:00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