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Szkło widoczne dla ptaków, opracowane dla ochrony przyrody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Pilkington United Kingdom Limited, należący do NSG Group, opracował nowe szkło Pilkington AviSafe™. Jego specjalna powłoka zapobiega zderzaniu się ptaków z oknami i szklanymi fasadami budynków.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ptaków zderza się ze szkłem, gdy mylą to, co jest widoczne w jego odbiciu, z prawdziwym przedmiotem, takim jak drzewa lub otwarte niebo.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AviSafe™</w:t>
      </w:r>
      <w:r>
        <w:rPr>
          <w:rFonts w:ascii="calibri" w:hAnsi="calibri" w:eastAsia="calibri" w:cs="calibri"/>
          <w:sz w:val="24"/>
          <w:szCs w:val="24"/>
        </w:rPr>
        <w:t xml:space="preserve"> ma wzór wzmacniający odbicie promieniowania UV, które jest bardziej widoczne dla ptaków niż dla ludzi, co pomaga zapobiegać kolizjom i zapewnia maksymalną przejrzystość, zachowując jednocześnie estetyczny wygląd szkła.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będzie wspierać projektantów, gdy ustawodawcy zaczną egzekwować stosowanie materiałów przyjaznych dla ptaków w budownictwie. Na przykład w Stanach Zjednoczonych w Nowym Jorku i San Francisco przyjęto regulacje, które zachęcają do specyfikacji szkła widocznego dla ptaków.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Szkło Pilkington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AviSafe™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odbija głównie fale w paśmie UV, które ptaki widzą najostrzejszej. Oznacza to, że ptaki widzą naprawdę jasny wzór zakłócający odbicie, więc lokalizują przeszkodę i nie lecą w tym kierunku. Wzór na zewnętrznej powierzchni jest estetyczny dla ludzkiego oka i ledwo widoczny od wewnątrz, umożliwiając niezakłócony widok i wysoką przepuszczalność światła. Dzięki naszej innowacji możliwe jest tworzenie projektów, które są bezpieczne dla dzikiej przyrody, bez konieczności rezygnacji z dużej ilości szkła używanego do przeszkleń zewnętrznych budynku</w:t>
      </w:r>
      <w:r>
        <w:rPr>
          <w:rFonts w:ascii="calibri" w:hAnsi="calibri" w:eastAsia="calibri" w:cs="calibri"/>
          <w:sz w:val="24"/>
          <w:szCs w:val="24"/>
        </w:rPr>
        <w:t xml:space="preserve"> – tłumaczy Leo Pyrah, kierownik produktu w Pilkington 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AviSafe™</w:t>
      </w:r>
      <w:r>
        <w:rPr>
          <w:rFonts w:ascii="calibri" w:hAnsi="calibri" w:eastAsia="calibri" w:cs="calibri"/>
          <w:sz w:val="24"/>
          <w:szCs w:val="24"/>
        </w:rPr>
        <w:t xml:space="preserve"> będzie stosowany na zewnętrznej powierzchni szyby zespolonej i może być łączony z innymi produktami marki Pilkington w celu uzyskania dodatkowych korzyści, takich jak izolacja termiczna, ochrona przed słońcem, bezpieczeństwo i ochrona przed hałasem.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zostało pomyślnie przetestowane w rezerwacie przyrody Mere Sands Wood w pobliżu centrum badawczo-rozwojowego NSG Group w Wielkiej Brytanii. Testowany produkt został zainstalowany w nowym budynku dla zwiedzających i w kawiarni, aby zmniejszyć ryzyko zderzenia się 170 różnych gatunków ptaków występujących w parku z oknami. Teren, zarządzany przez Lancashire Wildlife Trust, to dawna kopalnia piasku wykorzystywana do wydobywania minerałów do produkcji szkła.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Chcieliśmy, aby nasze nowe obiekty były miejscem, w którym ludzie mogliby wygodnie obserwować dziką przyrodę i cieszyć się pięknym widokiem naszego rezerwatu przyrody. Pilkington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AviSafe™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pozwoliło nam to zapewnić bez narażania życia wielu różnych gatunków ptaków</w:t>
      </w:r>
      <w:r>
        <w:rPr>
          <w:rFonts w:ascii="calibri" w:hAnsi="calibri" w:eastAsia="calibri" w:cs="calibri"/>
          <w:sz w:val="24"/>
          <w:szCs w:val="24"/>
        </w:rPr>
        <w:t xml:space="preserve"> – powiedziała Alice Singleton, dyrektor ds. marketingu w Lancashire Wildlife Trust.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motoryzacyjny obsługuje rynek oryginalnego wyposażenia, części zamienne i specjalistyczne rynki szyb transportowych. Sektor architektoniczny dostarcza szkło do zastosowań architektonicznych, energii słonecznej oraz cyfrowych oznakowań i wyświetlaczy. Produkty technologiczne obejmują bardzo cienkie szkło do wyświetlaczy, soczewki i światłowody do drukarek oraz włókno szklane używane w separatorach akumulatorów i paskach rozrządu silnika. Posiadamy duże udziały w większości rynków produktów architektonicznych i motoryzacyjnych na świecie, o szerokim zasięgu geograficznym, co pozwala nam odpowiadać na potrzeby klientów, których działalność, szczególnie w przypadku rynku oryginalnych szyb samochodowych, ma coraz bardziej globalny charakter. Obecnie, NSG Group prowadzi działalność produkcyjną na całym świecie i prowadzi sprzedaż w ponad 100 krajach. W roku podatkowym zakończonym 31 marca 2020 r. sprzedaż Grupy wyniosła ok. 4,60 miliarda euro. Z łącznej sprzedaży Grupy 38% zrealizowano w Europie, 28% w Azji, łącznie z Japonią i 27% w obu Amerykach.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ilkington.pl" TargetMode="External"/><Relationship Id="rId8" Type="http://schemas.openxmlformats.org/officeDocument/2006/relationships/hyperlink" Target="http://royalbrand.biuroprasowe.pl/word/?typ=epr&amp;id=154918&amp;hash=d1fe004dbe6a89c00a51239fe05d1d11mailto:Ewelina.Wojcicka@pl.ns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2024-05-06T04:50:36+02:00</dcterms:created>
  <dcterms:modified xsi:type="dcterms:W3CDTF">2024-05-06T04:50:36+02:00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